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6A" w:rsidRDefault="00ED4378">
      <w:pPr>
        <w:pStyle w:val="NoSpacing"/>
        <w:ind w:firstLine="720"/>
        <w:jc w:val="both"/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систему</w:t>
      </w:r>
      <w:proofErr w:type="spellEnd"/>
      <w:r>
        <w:rPr>
          <w:rFonts w:ascii="Times New Roman" w:hAnsi="Times New Roman" w:cs="Times New Roman"/>
        </w:rPr>
        <w:t xml:space="preserve"> (''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РС'',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54/09, 73/10, 101/10, 101/11, 93/12, 62/13, 63/13- </w:t>
      </w:r>
      <w:proofErr w:type="spellStart"/>
      <w:proofErr w:type="gramStart"/>
      <w:r>
        <w:rPr>
          <w:rFonts w:ascii="Times New Roman" w:hAnsi="Times New Roman" w:cs="Times New Roman"/>
        </w:rPr>
        <w:t>испр</w:t>
      </w:r>
      <w:proofErr w:type="spellEnd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108/13, 142/14, 68/15-др.закон, 103/15, 99/16, 113/17, 95/18, 31/19, 72/19 и 149/20),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32. </w:t>
      </w:r>
      <w:proofErr w:type="spellStart"/>
      <w:proofErr w:type="gram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(''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РС'',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129/07, 83/14-др.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, 101/16-др. </w:t>
      </w:r>
      <w:proofErr w:type="spellStart"/>
      <w:r>
        <w:rPr>
          <w:rFonts w:ascii="Times New Roman" w:hAnsi="Times New Roman" w:cs="Times New Roman"/>
        </w:rPr>
        <w:t>закон</w:t>
      </w:r>
      <w:proofErr w:type="spellEnd"/>
      <w:r>
        <w:rPr>
          <w:rFonts w:ascii="Times New Roman" w:hAnsi="Times New Roman" w:cs="Times New Roman"/>
        </w:rPr>
        <w:t xml:space="preserve"> и 47/18)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40.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2) </w:t>
      </w:r>
      <w:proofErr w:type="spellStart"/>
      <w:r>
        <w:rPr>
          <w:rFonts w:ascii="Times New Roman" w:hAnsi="Times New Roman" w:cs="Times New Roman"/>
        </w:rPr>
        <w:t>Статута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(''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3/19), </w:t>
      </w:r>
      <w:proofErr w:type="spellStart"/>
      <w:r>
        <w:rPr>
          <w:rFonts w:ascii="Times New Roman" w:hAnsi="Times New Roman" w:cs="Times New Roman"/>
        </w:rPr>
        <w:t>Скупштина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, на6.седници одржаној23.децембра 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E376A" w:rsidRDefault="00FE376A">
      <w:pPr>
        <w:pStyle w:val="NoSpacing"/>
        <w:rPr>
          <w:rFonts w:ascii="Times New Roman" w:hAnsi="Times New Roman" w:cs="Times New Roman"/>
          <w:sz w:val="14"/>
        </w:rPr>
      </w:pPr>
    </w:p>
    <w:p w:rsidR="00FE376A" w:rsidRDefault="00FE376A">
      <w:pPr>
        <w:pStyle w:val="NoSpacing"/>
        <w:rPr>
          <w:rFonts w:ascii="Times New Roman" w:hAnsi="Times New Roman" w:cs="Times New Roman"/>
          <w:sz w:val="14"/>
        </w:rPr>
      </w:pPr>
    </w:p>
    <w:p w:rsidR="00FE376A" w:rsidRDefault="00FE376A">
      <w:pPr>
        <w:pStyle w:val="NoSpacing"/>
        <w:rPr>
          <w:rFonts w:ascii="Times New Roman" w:hAnsi="Times New Roman" w:cs="Times New Roman"/>
          <w:sz w:val="14"/>
        </w:rPr>
      </w:pPr>
    </w:p>
    <w:p w:rsidR="00FE376A" w:rsidRDefault="00ED4378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Д Л У К У</w:t>
      </w:r>
    </w:p>
    <w:p w:rsidR="00FE376A" w:rsidRDefault="00ED4378">
      <w:pPr>
        <w:pStyle w:val="NoSpacing"/>
        <w:jc w:val="center"/>
      </w:pPr>
      <w:r>
        <w:rPr>
          <w:rFonts w:ascii="Times New Roman" w:hAnsi="Times New Roman" w:cs="Times New Roman"/>
          <w:b/>
          <w:sz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</w:rPr>
        <w:t>ТРЕЋЕМ  РЕБАЛАНСУ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БУЏЕТА ОПШТИНЕ ЋИЋЕВАЦ  ЗА 2020. ГОДИНУ</w:t>
      </w:r>
    </w:p>
    <w:p w:rsidR="00FE376A" w:rsidRDefault="00FE376A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FE376A" w:rsidRDefault="00ED437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Latn-CS"/>
        </w:rPr>
        <w:t xml:space="preserve">I  </w:t>
      </w:r>
      <w:r>
        <w:rPr>
          <w:rFonts w:ascii="Times New Roman" w:hAnsi="Times New Roman" w:cs="Times New Roman"/>
          <w:b/>
        </w:rPr>
        <w:t>ОПШТИ ДЕО</w:t>
      </w:r>
    </w:p>
    <w:p w:rsidR="00FE376A" w:rsidRDefault="00ED4378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1.</w:t>
      </w:r>
      <w:proofErr w:type="gramEnd"/>
    </w:p>
    <w:p w:rsidR="00FE376A" w:rsidRDefault="00ED4378">
      <w:pPr>
        <w:pStyle w:val="NoSpacing"/>
        <w:jc w:val="both"/>
      </w:pP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Приходи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примања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расходи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издаци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("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16/19, 4/20 и23/20, (у 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буџет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састоје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>:</w:t>
      </w:r>
    </w:p>
    <w:p w:rsidR="00FE376A" w:rsidRDefault="00FE376A">
      <w:pPr>
        <w:pStyle w:val="NoSpacing"/>
        <w:jc w:val="both"/>
        <w:rPr>
          <w:rFonts w:ascii="Times New Roman" w:hAnsi="Times New Roman" w:cs="Times New Roman"/>
          <w:sz w:val="14"/>
        </w:rPr>
      </w:pPr>
    </w:p>
    <w:tbl>
      <w:tblPr>
        <w:tblStyle w:val="TableGrid1"/>
        <w:tblW w:w="10191" w:type="dxa"/>
        <w:tblLook w:val="04A0"/>
      </w:tblPr>
      <w:tblGrid>
        <w:gridCol w:w="8135"/>
        <w:gridCol w:w="2056"/>
      </w:tblGrid>
      <w:tr w:rsidR="00FE376A">
        <w:trPr>
          <w:trHeight w:val="232"/>
        </w:trPr>
        <w:tc>
          <w:tcPr>
            <w:tcW w:w="8134" w:type="dxa"/>
            <w:shd w:val="clear" w:color="auto" w:fill="auto"/>
          </w:tcPr>
          <w:p w:rsidR="00FE376A" w:rsidRDefault="00FE376A">
            <w:pPr>
              <w:pStyle w:val="NoSpacing"/>
              <w:jc w:val="both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Износ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у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динарима</w:t>
            </w:r>
            <w:proofErr w:type="spellEnd"/>
          </w:p>
        </w:tc>
      </w:tr>
      <w:tr w:rsidR="00FE376A">
        <w:trPr>
          <w:trHeight w:val="23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А. РАЧУН ПРИХОДА И ПРИМАЊА, РАСХОДА И ИЗДАТАКА</w:t>
            </w:r>
          </w:p>
        </w:tc>
        <w:tc>
          <w:tcPr>
            <w:tcW w:w="2056" w:type="dxa"/>
            <w:shd w:val="clear" w:color="auto" w:fill="auto"/>
          </w:tcPr>
          <w:p w:rsidR="00FE376A" w:rsidRDefault="00FE376A">
            <w:pPr>
              <w:pStyle w:val="NoSpacing"/>
              <w:jc w:val="both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FE376A">
        <w:trPr>
          <w:trHeight w:val="24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1.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Укупни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приходи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примања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од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продаје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нефинансијске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имовине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spacing w:after="0" w:line="240" w:lineRule="auto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400.459.120</w:t>
            </w:r>
          </w:p>
        </w:tc>
      </w:tr>
      <w:tr w:rsidR="00FE376A">
        <w:trPr>
          <w:trHeight w:val="23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1.1. ТЕКУЋИ ПРИХОДИ у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чему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>:</w:t>
            </w:r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tabs>
                <w:tab w:val="left" w:pos="463"/>
              </w:tabs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400.359.120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буџетска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средства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396.304.120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сопствени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приходи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2.095.000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средства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осталих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извора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1.960.000</w:t>
            </w:r>
          </w:p>
        </w:tc>
      </w:tr>
      <w:tr w:rsidR="00FE376A">
        <w:trPr>
          <w:trHeight w:val="23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1.2.  ПРИХОДИ ОД ПРОДАЈЕ НЕФИНАНСИЈСКЕ ИМОВИНЕ</w:t>
            </w:r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100.000</w:t>
            </w:r>
          </w:p>
        </w:tc>
      </w:tr>
      <w:tr w:rsidR="00FE376A">
        <w:trPr>
          <w:trHeight w:val="24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2. 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Укупни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расходи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издаци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за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набавку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нефинансијске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имовине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416.459.120</w:t>
            </w:r>
          </w:p>
        </w:tc>
      </w:tr>
      <w:tr w:rsidR="00FE376A">
        <w:trPr>
          <w:trHeight w:val="23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2.1. ТЕКУЋИ РАСХОДИ у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чему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>:</w:t>
            </w:r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362.825.000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текући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буџетски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расходи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358.930.000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расходи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сопствених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прихода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1.935.000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ind w:left="720"/>
              <w:jc w:val="both"/>
              <w:rPr>
                <w:rFonts w:eastAsiaTheme="minorHAnsi"/>
                <w:sz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расходи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осталих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извора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1.960.000</w:t>
            </w:r>
          </w:p>
        </w:tc>
      </w:tr>
      <w:tr w:rsidR="00FE376A">
        <w:trPr>
          <w:trHeight w:val="23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2.2. ИЗДАЦИ ЗА НАБАВКУ НЕФИНАНСИЈСКЕ ИМОВИНЕ у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чему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>:</w:t>
            </w:r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53.634.120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текући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буџетски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издаци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53.474.120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издаци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сопствених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прихода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160.000</w:t>
            </w:r>
          </w:p>
        </w:tc>
      </w:tr>
      <w:tr w:rsidR="00FE376A">
        <w:trPr>
          <w:trHeight w:val="259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издаци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осталих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извора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/</w:t>
            </w:r>
          </w:p>
        </w:tc>
      </w:tr>
      <w:tr w:rsidR="00FE376A">
        <w:trPr>
          <w:trHeight w:val="24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БУЏЕТСКИ 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FE376A">
        <w:trPr>
          <w:trHeight w:val="23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Издаци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набавку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имовине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(у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циљу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спровођења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јавних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политика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>)</w:t>
            </w:r>
          </w:p>
        </w:tc>
        <w:tc>
          <w:tcPr>
            <w:tcW w:w="2056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FE376A">
        <w:trPr>
          <w:trHeight w:val="24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УКУПАН ФИСКАЛНИ СУФИЦИТ/ДЕФИЦИТ</w:t>
            </w:r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-16.000.000</w:t>
            </w:r>
          </w:p>
        </w:tc>
      </w:tr>
      <w:tr w:rsidR="00FE376A">
        <w:trPr>
          <w:trHeight w:val="23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Б. РАЧУН ФИНАНСИРАЊА</w:t>
            </w:r>
          </w:p>
        </w:tc>
        <w:tc>
          <w:tcPr>
            <w:tcW w:w="2056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FE376A">
        <w:trPr>
          <w:trHeight w:val="24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Примања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продаје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имовине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FE376A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FE376A">
        <w:trPr>
          <w:trHeight w:val="24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Примања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од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задуживања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32.000.000</w:t>
            </w:r>
          </w:p>
        </w:tc>
      </w:tr>
      <w:tr w:rsidR="00FE376A">
        <w:trPr>
          <w:trHeight w:val="24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Издаци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за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отплату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главнице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дуга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16.000.000</w:t>
            </w:r>
          </w:p>
        </w:tc>
      </w:tr>
      <w:tr w:rsidR="00FE376A">
        <w:trPr>
          <w:trHeight w:val="248"/>
        </w:trPr>
        <w:tc>
          <w:tcPr>
            <w:tcW w:w="8134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НЕТО ФИНАНСИРАЊЕ</w:t>
            </w:r>
          </w:p>
        </w:tc>
        <w:tc>
          <w:tcPr>
            <w:tcW w:w="2056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16.000.000</w:t>
            </w:r>
          </w:p>
        </w:tc>
      </w:tr>
    </w:tbl>
    <w:p w:rsidR="00FE376A" w:rsidRDefault="00FE376A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</w:p>
    <w:p w:rsidR="00FE376A" w:rsidRDefault="00ED4378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Приходи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примања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расходи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издаци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утврђени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следећим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износима</w:t>
      </w:r>
      <w:proofErr w:type="spellEnd"/>
      <w:r>
        <w:rPr>
          <w:rFonts w:ascii="Times New Roman" w:hAnsi="Times New Roman" w:cs="Times New Roman"/>
        </w:rPr>
        <w:t>:</w:t>
      </w:r>
    </w:p>
    <w:p w:rsidR="00FE376A" w:rsidRDefault="00FE376A">
      <w:pPr>
        <w:pStyle w:val="NoSpacing"/>
        <w:jc w:val="both"/>
        <w:rPr>
          <w:rFonts w:ascii="Times New Roman" w:hAnsi="Times New Roman" w:cs="Times New Roman"/>
          <w:sz w:val="8"/>
        </w:rPr>
      </w:pPr>
    </w:p>
    <w:tbl>
      <w:tblPr>
        <w:tblStyle w:val="TableGrid1"/>
        <w:tblW w:w="9904" w:type="dxa"/>
        <w:tblLook w:val="04A0"/>
      </w:tblPr>
      <w:tblGrid>
        <w:gridCol w:w="6622"/>
        <w:gridCol w:w="1940"/>
        <w:gridCol w:w="1342"/>
      </w:tblGrid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ЕКОНОМСКА КЛАСИФИКАЦИЈА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ИЗНОС У ДИНАРИМА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УКУПНИ ПРИХОДИ У ПРИМАЊА ОД ПРОДАЈЕ НЕФИНАНСИЈСКЕ ИМОВИНЕ</w:t>
            </w:r>
          </w:p>
        </w:tc>
        <w:tc>
          <w:tcPr>
            <w:tcW w:w="1940" w:type="dxa"/>
            <w:shd w:val="clear" w:color="auto" w:fill="auto"/>
          </w:tcPr>
          <w:p w:rsidR="00FE376A" w:rsidRDefault="00FE376A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Порески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приходи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229.300.000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Порез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доходак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добит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капиталне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добитке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осим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самодоприноса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109.200.000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Порез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имовину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80.000.000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1.3.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Остали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порески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приходи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714,716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30.100.000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Непорески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приходи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22.815.000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Трансфери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150.364.120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5.Меморандумске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ставке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2.000.000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Примања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продаје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7.  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Пренета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неутрошена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5.880.000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УКУПНИ РАСХОДИ И ИЗДАЦИ ЗА НАБАВКУ НЕФИНАНСИЈСКЕ ИМОВИНЕ</w:t>
            </w:r>
          </w:p>
        </w:tc>
        <w:tc>
          <w:tcPr>
            <w:tcW w:w="1940" w:type="dxa"/>
            <w:shd w:val="clear" w:color="auto" w:fill="auto"/>
          </w:tcPr>
          <w:p w:rsidR="00FE376A" w:rsidRDefault="00FE376A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Текући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расходи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362.825.000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Расходи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запослене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108.582.000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Коришћење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роба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133.857.000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1.3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Амортиз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некретнина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Отплата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камата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1.640.000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1.5.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Субвенције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15.050.000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1.6.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Социјална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заштита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27.020.000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1.7.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Остали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расходи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чему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:</w:t>
            </w:r>
          </w:p>
          <w:p w:rsidR="00FE376A" w:rsidRDefault="00ED4378">
            <w:pPr>
              <w:pStyle w:val="NoSpacing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средства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резерви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48+49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23.736.000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Трансфери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52.850.000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Издаци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набавку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нефинансијске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53.634.120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Издаци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набавку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имовине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осим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611)</w:t>
            </w:r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ПРИМАЊА ОД ПРОДАЈЕ ФИНАНСИЈСКЕ ИМОВИНЕ И ЗАДУЖИВАЊА</w:t>
            </w:r>
          </w:p>
        </w:tc>
        <w:tc>
          <w:tcPr>
            <w:tcW w:w="1940" w:type="dxa"/>
            <w:shd w:val="clear" w:color="auto" w:fill="auto"/>
          </w:tcPr>
          <w:p w:rsidR="00FE376A" w:rsidRDefault="00FE376A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32.000.000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Примања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отплате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кредита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продаје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Задуживање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32.000.000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Задуживање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домаћих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32.000.000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Задуживање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ОТПЛАТА ДУГА И НАБАВКА ФИНАНСИЈСКЕ ИМОВИНЕ</w:t>
            </w:r>
          </w:p>
        </w:tc>
        <w:tc>
          <w:tcPr>
            <w:tcW w:w="1940" w:type="dxa"/>
            <w:shd w:val="clear" w:color="auto" w:fill="auto"/>
          </w:tcPr>
          <w:p w:rsidR="00FE376A" w:rsidRDefault="00FE376A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16.000.000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Отплата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дуга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16.000.000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3.1.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Отплата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дуга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домаћим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кредиторима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342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16.000.000</w:t>
            </w: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3.2.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Отплата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дуга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страним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кредиторима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3.3.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Отплата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дуга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гаранцијама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FE376A">
        <w:tc>
          <w:tcPr>
            <w:tcW w:w="6622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Набавка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финансијске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имовине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6211</w:t>
            </w:r>
          </w:p>
        </w:tc>
        <w:tc>
          <w:tcPr>
            <w:tcW w:w="1342" w:type="dxa"/>
            <w:shd w:val="clear" w:color="auto" w:fill="auto"/>
          </w:tcPr>
          <w:p w:rsidR="00FE376A" w:rsidRDefault="00FE376A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FE376A" w:rsidRDefault="00FE376A">
      <w:pPr>
        <w:pStyle w:val="NoSpacing"/>
        <w:jc w:val="center"/>
        <w:rPr>
          <w:rFonts w:ascii="Times New Roman" w:hAnsi="Times New Roman" w:cs="Times New Roman"/>
          <w:sz w:val="14"/>
          <w:szCs w:val="14"/>
        </w:rPr>
      </w:pPr>
    </w:p>
    <w:p w:rsidR="00FE376A" w:rsidRDefault="00ED4378">
      <w:pPr>
        <w:pStyle w:val="NoSpacing"/>
        <w:jc w:val="center"/>
      </w:pPr>
      <w:proofErr w:type="spellStart"/>
      <w:proofErr w:type="gram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2.</w:t>
      </w:r>
      <w:proofErr w:type="gramEnd"/>
    </w:p>
    <w:p w:rsidR="00FE376A" w:rsidRDefault="00ED4378">
      <w:pPr>
        <w:pStyle w:val="NoSpacing"/>
        <w:ind w:firstLine="720"/>
      </w:pPr>
      <w:proofErr w:type="spellStart"/>
      <w:proofErr w:type="gramStart"/>
      <w:r>
        <w:rPr>
          <w:rFonts w:ascii="Times New Roman" w:hAnsi="Times New Roman" w:cs="Times New Roman"/>
        </w:rPr>
        <w:t>Расходи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издаци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ове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програме</w:t>
      </w:r>
      <w:proofErr w:type="spellEnd"/>
      <w:r>
        <w:rPr>
          <w:rFonts w:ascii="Times New Roman" w:hAnsi="Times New Roman" w:cs="Times New Roman"/>
        </w:rPr>
        <w:t>:</w:t>
      </w:r>
    </w:p>
    <w:p w:rsidR="00FE376A" w:rsidRDefault="00FE376A">
      <w:pPr>
        <w:pStyle w:val="NoSpacing"/>
        <w:ind w:firstLine="720"/>
        <w:rPr>
          <w:rFonts w:ascii="Times New Roman" w:hAnsi="Times New Roman" w:cs="Times New Roman"/>
          <w:sz w:val="14"/>
          <w:szCs w:val="14"/>
        </w:rPr>
      </w:pPr>
    </w:p>
    <w:p w:rsidR="00FE376A" w:rsidRDefault="00ED4378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План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расхода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по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програмима</w:t>
      </w:r>
      <w:proofErr w:type="spellEnd"/>
    </w:p>
    <w:p w:rsidR="00FE376A" w:rsidRDefault="00ED4378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за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период</w:t>
      </w:r>
      <w:proofErr w:type="spellEnd"/>
      <w:r>
        <w:rPr>
          <w:rFonts w:ascii="Times New Roman" w:hAnsi="Times New Roman" w:cs="Times New Roman"/>
          <w:b/>
        </w:rPr>
        <w:t xml:space="preserve"> 01.01.2020.-31.12.2020.</w:t>
      </w:r>
    </w:p>
    <w:p w:rsidR="00FE376A" w:rsidRDefault="00FE376A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1"/>
        <w:tblW w:w="9904" w:type="dxa"/>
        <w:tblLook w:val="04A0"/>
      </w:tblPr>
      <w:tblGrid>
        <w:gridCol w:w="5637"/>
        <w:gridCol w:w="4267"/>
      </w:tblGrid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Назив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програма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Износ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у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</w:rPr>
              <w:t>динарима</w:t>
            </w:r>
            <w:proofErr w:type="spellEnd"/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1.Урбанизам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просторно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планирање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13.550.000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2 .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Комунална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делатност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33.210.000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3 .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Локални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економски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развој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4.050.000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4 .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Развој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туризма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/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5.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Пољопривреда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рурални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развој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7.000.000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6.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Заштита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животне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средине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3.000.000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7.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Организација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саобраћаја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саобраћајна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инфраструктура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24.000.000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8.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Предшколско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васпитање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44.515.000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9.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Основно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образовање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16.600.000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10.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Средње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образовање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1.500.000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11.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Социјална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дечија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заштита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tabs>
                <w:tab w:val="left" w:pos="1426"/>
              </w:tabs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53.057.000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12.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Здравствена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заштита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10.000.000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13.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Развој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културе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информисања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tabs>
                <w:tab w:val="left" w:pos="1343"/>
              </w:tabs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15.940.000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14.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Развој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спорта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омладине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12.822.000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lastRenderedPageBreak/>
              <w:t xml:space="preserve">15.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Опште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услуге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локалне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самоуправе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132.760.000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16.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Политички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систем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локалне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самоуправе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55.571.000</w:t>
            </w:r>
          </w:p>
        </w:tc>
      </w:tr>
      <w:tr w:rsidR="00FE376A">
        <w:tc>
          <w:tcPr>
            <w:tcW w:w="5636" w:type="dxa"/>
            <w:shd w:val="clear" w:color="auto" w:fill="auto"/>
          </w:tcPr>
          <w:p w:rsidR="00FE376A" w:rsidRDefault="00ED4378">
            <w:pPr>
              <w:pStyle w:val="NoSpacing"/>
              <w:jc w:val="both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17.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Енергетска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</w:rPr>
              <w:t>ефикасност</w:t>
            </w:r>
            <w:proofErr w:type="spellEnd"/>
          </w:p>
        </w:tc>
        <w:tc>
          <w:tcPr>
            <w:tcW w:w="4267" w:type="dxa"/>
            <w:shd w:val="clear" w:color="auto" w:fill="auto"/>
          </w:tcPr>
          <w:p w:rsidR="00FE376A" w:rsidRDefault="00ED4378">
            <w:pPr>
              <w:pStyle w:val="NoSpacing"/>
              <w:jc w:val="right"/>
              <w:rPr>
                <w:rFonts w:eastAsiaTheme="minorHAnsi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4.884.120</w:t>
            </w:r>
          </w:p>
        </w:tc>
      </w:tr>
    </w:tbl>
    <w:p w:rsidR="00FE376A" w:rsidRDefault="00FE376A">
      <w:pPr>
        <w:pStyle w:val="NoSpacing"/>
        <w:jc w:val="center"/>
        <w:rPr>
          <w:rFonts w:ascii="Times New Roman" w:hAnsi="Times New Roman" w:cs="Times New Roman"/>
        </w:rPr>
      </w:pPr>
    </w:p>
    <w:p w:rsidR="00FE376A" w:rsidRDefault="00ED4378">
      <w:pPr>
        <w:pStyle w:val="NoSpacing"/>
        <w:jc w:val="center"/>
      </w:pPr>
      <w:proofErr w:type="spellStart"/>
      <w:proofErr w:type="gram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3.</w:t>
      </w:r>
      <w:proofErr w:type="gramEnd"/>
      <w:r>
        <w:rPr>
          <w:rFonts w:ascii="Times New Roman" w:hAnsi="Times New Roman" w:cs="Times New Roman"/>
        </w:rPr>
        <w:tab/>
      </w:r>
    </w:p>
    <w:p w:rsidR="00FE376A" w:rsidRDefault="00ED4378">
      <w:pPr>
        <w:pStyle w:val="NoSpacing"/>
        <w:jc w:val="both"/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следећег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у "</w:t>
      </w:r>
      <w:proofErr w:type="spellStart"/>
      <w:r>
        <w:rPr>
          <w:rFonts w:ascii="Times New Roman" w:hAnsi="Times New Roman" w:cs="Times New Roman"/>
        </w:rPr>
        <w:t>Службеном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>".</w:t>
      </w:r>
      <w:proofErr w:type="gramEnd"/>
    </w:p>
    <w:p w:rsidR="00FE376A" w:rsidRDefault="00FE376A">
      <w:pPr>
        <w:pStyle w:val="NoSpacing"/>
        <w:jc w:val="both"/>
        <w:rPr>
          <w:rFonts w:ascii="Times New Roman" w:hAnsi="Times New Roman" w:cs="Times New Roman"/>
          <w:sz w:val="12"/>
        </w:rPr>
      </w:pPr>
    </w:p>
    <w:p w:rsidR="00FE376A" w:rsidRDefault="00ED4378">
      <w:pPr>
        <w:pStyle w:val="NoSpacing"/>
        <w:jc w:val="center"/>
      </w:pPr>
      <w:proofErr w:type="spellStart"/>
      <w:proofErr w:type="gramStart"/>
      <w:r>
        <w:rPr>
          <w:rFonts w:ascii="Times New Roman" w:hAnsi="Times New Roman" w:cs="Times New Roman"/>
        </w:rPr>
        <w:t>Члан</w:t>
      </w:r>
      <w:proofErr w:type="spellEnd"/>
      <w:r>
        <w:rPr>
          <w:rFonts w:ascii="Times New Roman" w:hAnsi="Times New Roman" w:cs="Times New Roman"/>
        </w:rPr>
        <w:t xml:space="preserve"> 4.</w:t>
      </w:r>
      <w:proofErr w:type="gramEnd"/>
    </w:p>
    <w:p w:rsidR="00FE376A" w:rsidRDefault="00ED437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Министру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финансија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FE376A" w:rsidRDefault="00FE376A">
      <w:pPr>
        <w:pStyle w:val="NoSpacing"/>
        <w:jc w:val="both"/>
        <w:rPr>
          <w:rFonts w:ascii="Times New Roman" w:hAnsi="Times New Roman" w:cs="Times New Roman"/>
          <w:sz w:val="14"/>
          <w:szCs w:val="14"/>
        </w:rPr>
      </w:pPr>
    </w:p>
    <w:p w:rsidR="00FE376A" w:rsidRDefault="00ED4378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СКУПШТИНА ОПШТИНЕ </w:t>
      </w:r>
      <w:r>
        <w:rPr>
          <w:rFonts w:ascii="Times New Roman" w:hAnsi="Times New Roman" w:cs="Times New Roman"/>
          <w:sz w:val="20"/>
          <w:szCs w:val="20"/>
        </w:rPr>
        <w:t>ЋИЋЕВАЦ</w:t>
      </w:r>
    </w:p>
    <w:p w:rsidR="00FE376A" w:rsidRDefault="00ED4378">
      <w:pPr>
        <w:pStyle w:val="NoSpacing"/>
        <w:ind w:left="2880"/>
      </w:pPr>
      <w:r>
        <w:rPr>
          <w:rFonts w:ascii="Times New Roman" w:hAnsi="Times New Roman" w:cs="Times New Roman"/>
          <w:sz w:val="20"/>
          <w:szCs w:val="20"/>
        </w:rPr>
        <w:t>Број</w:t>
      </w:r>
      <w:proofErr w:type="gramStart"/>
      <w:r>
        <w:rPr>
          <w:rFonts w:ascii="Times New Roman" w:hAnsi="Times New Roman" w:cs="Times New Roman"/>
          <w:sz w:val="20"/>
          <w:szCs w:val="20"/>
        </w:rPr>
        <w:t>:400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-94/20-04 од23. децембра2020.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FE376A" w:rsidRDefault="00FE376A">
      <w:pPr>
        <w:pStyle w:val="NoSpacing"/>
        <w:ind w:left="2880"/>
        <w:rPr>
          <w:rFonts w:ascii="Times New Roman" w:hAnsi="Times New Roman" w:cs="Times New Roman"/>
          <w:sz w:val="20"/>
          <w:szCs w:val="20"/>
        </w:rPr>
      </w:pPr>
    </w:p>
    <w:p w:rsidR="00FE376A" w:rsidRDefault="00FE376A">
      <w:pPr>
        <w:pStyle w:val="NoSpacing"/>
        <w:ind w:left="2880"/>
        <w:rPr>
          <w:rFonts w:ascii="Times New Roman" w:hAnsi="Times New Roman" w:cs="Times New Roman"/>
          <w:sz w:val="20"/>
          <w:szCs w:val="20"/>
        </w:rPr>
      </w:pPr>
    </w:p>
    <w:p w:rsidR="00FE376A" w:rsidRDefault="00FE376A">
      <w:pPr>
        <w:pStyle w:val="NoSpacing"/>
        <w:ind w:left="2880"/>
        <w:rPr>
          <w:rFonts w:ascii="Times New Roman" w:hAnsi="Times New Roman" w:cs="Times New Roman"/>
          <w:sz w:val="4"/>
        </w:rPr>
      </w:pPr>
    </w:p>
    <w:p w:rsidR="00FE376A" w:rsidRDefault="00ED4378">
      <w:pPr>
        <w:pStyle w:val="NoSpacing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ПРЕДСЕДНИК</w:t>
      </w:r>
    </w:p>
    <w:p w:rsidR="00FE376A" w:rsidRDefault="00ED4378">
      <w:pPr>
        <w:pStyle w:val="NoSpacing"/>
        <w:jc w:val="center"/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Милош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Радосављевић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дипл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правник</w:t>
      </w:r>
      <w:proofErr w:type="spellEnd"/>
      <w:proofErr w:type="gramEnd"/>
    </w:p>
    <w:p w:rsidR="00FE376A" w:rsidRDefault="00FE376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E376A" w:rsidRDefault="00FE376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E376A" w:rsidRDefault="00ED4378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Б Р А З Л О Ж Е Њ Е</w:t>
      </w:r>
    </w:p>
    <w:p w:rsidR="00FE376A" w:rsidRDefault="00FE376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FE376A" w:rsidRDefault="00ED4378">
      <w:pPr>
        <w:pStyle w:val="NoSpacing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Правни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трећем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ребалансу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63. </w:t>
      </w:r>
      <w:proofErr w:type="spellStart"/>
      <w:proofErr w:type="gram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систему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32.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40.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2) </w:t>
      </w:r>
      <w:proofErr w:type="spellStart"/>
      <w:r>
        <w:rPr>
          <w:rFonts w:ascii="Times New Roman" w:hAnsi="Times New Roman" w:cs="Times New Roman"/>
        </w:rPr>
        <w:t>Статута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63. </w:t>
      </w:r>
      <w:proofErr w:type="spellStart"/>
      <w:proofErr w:type="gram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ребалансом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власти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усклађивање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примања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расхода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издатака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нижем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вишем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32.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40.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2) </w:t>
      </w:r>
      <w:proofErr w:type="spellStart"/>
      <w:r>
        <w:rPr>
          <w:rFonts w:ascii="Times New Roman" w:hAnsi="Times New Roman" w:cs="Times New Roman"/>
        </w:rPr>
        <w:t>Статута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надлежност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>.</w:t>
      </w:r>
    </w:p>
    <w:p w:rsidR="00FE376A" w:rsidRDefault="00FE376A">
      <w:pPr>
        <w:pStyle w:val="NoSpacing"/>
        <w:jc w:val="both"/>
        <w:rPr>
          <w:rFonts w:ascii="Times New Roman" w:hAnsi="Times New Roman" w:cs="Times New Roman"/>
        </w:rPr>
      </w:pPr>
    </w:p>
    <w:p w:rsidR="00FE376A" w:rsidRDefault="00ED4378">
      <w:pPr>
        <w:pStyle w:val="NoSpacing"/>
        <w:jc w:val="both"/>
      </w:pP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Општина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резерве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Републике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Србије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400-81/20-06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06.11.2020.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приходовала</w:t>
      </w:r>
      <w:proofErr w:type="spellEnd"/>
      <w:r>
        <w:rPr>
          <w:rFonts w:ascii="Times New Roman" w:hAnsi="Times New Roman" w:cs="Times New Roman"/>
        </w:rPr>
        <w:t xml:space="preserve"> 25.000.000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Ненаменских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трансфера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Републике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економска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класификација</w:t>
      </w:r>
      <w:proofErr w:type="spellEnd"/>
      <w:r>
        <w:rPr>
          <w:rFonts w:ascii="Times New Roman" w:hAnsi="Times New Roman" w:cs="Times New Roman"/>
        </w:rPr>
        <w:t xml:space="preserve"> 7331</w:t>
      </w:r>
      <w:r>
        <w:rPr>
          <w:rFonts w:ascii="Times New Roman" w:hAnsi="Times New Roman" w:cs="Times New Roman"/>
        </w:rPr>
        <w:t xml:space="preserve">51.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планиран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истом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ребалансом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повећани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10.000.000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</w:t>
      </w:r>
      <w:proofErr w:type="spellEnd"/>
      <w:r>
        <w:rPr>
          <w:rFonts w:ascii="Times New Roman" w:hAnsi="Times New Roman" w:cs="Times New Roman"/>
        </w:rPr>
        <w:t xml:space="preserve"> 733 – </w:t>
      </w:r>
      <w:proofErr w:type="spellStart"/>
      <w:r>
        <w:rPr>
          <w:rFonts w:ascii="Times New Roman" w:hAnsi="Times New Roman" w:cs="Times New Roman"/>
        </w:rPr>
        <w:t>Трансфери</w:t>
      </w:r>
      <w:proofErr w:type="spellEnd"/>
      <w:r>
        <w:rPr>
          <w:rFonts w:ascii="Times New Roman" w:hAnsi="Times New Roman" w:cs="Times New Roman"/>
        </w:rPr>
        <w:t xml:space="preserve">,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140.364.120,00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150.364.120,00, а </w:t>
      </w:r>
      <w:proofErr w:type="spellStart"/>
      <w:r>
        <w:rPr>
          <w:rFonts w:ascii="Times New Roman" w:hAnsi="Times New Roman" w:cs="Times New Roman"/>
        </w:rPr>
        <w:t>смањени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</w:t>
      </w:r>
      <w:proofErr w:type="spellEnd"/>
      <w:r>
        <w:rPr>
          <w:rFonts w:ascii="Times New Roman" w:hAnsi="Times New Roman" w:cs="Times New Roman"/>
        </w:rPr>
        <w:t xml:space="preserve"> 713 – </w:t>
      </w:r>
      <w:proofErr w:type="spellStart"/>
      <w:r>
        <w:rPr>
          <w:rFonts w:ascii="Times New Roman" w:hAnsi="Times New Roman" w:cs="Times New Roman"/>
        </w:rPr>
        <w:t>Порези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имовину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10.000.000,00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90.000.000,00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80.000.000,00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приходи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примања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432.459.120,00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FE376A" w:rsidRDefault="00FE376A">
      <w:pPr>
        <w:pStyle w:val="NoSpacing"/>
        <w:jc w:val="both"/>
        <w:rPr>
          <w:rFonts w:ascii="Times New Roman" w:hAnsi="Times New Roman" w:cs="Times New Roman"/>
        </w:rPr>
      </w:pPr>
    </w:p>
    <w:p w:rsidR="00FE376A" w:rsidRDefault="00ED4378">
      <w:pPr>
        <w:pStyle w:val="NoSpacing"/>
        <w:jc w:val="both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Планирани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расходи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432.459.120</w:t>
      </w:r>
      <w:proofErr w:type="gramStart"/>
      <w:r>
        <w:rPr>
          <w:rFonts w:ascii="Times New Roman" w:hAnsi="Times New Roman" w:cs="Times New Roman"/>
        </w:rPr>
        <w:t>,00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апрпријацијама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утврђеним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ребалансом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400-50/20-04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09.10.2020.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sectPr w:rsidR="00FE376A" w:rsidSect="00FE376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604"/>
    <w:multiLevelType w:val="multilevel"/>
    <w:tmpl w:val="83DE7C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">
    <w:nsid w:val="23646FF6"/>
    <w:multiLevelType w:val="multilevel"/>
    <w:tmpl w:val="0CC40A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D01969"/>
    <w:multiLevelType w:val="multilevel"/>
    <w:tmpl w:val="17E054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4743C5"/>
    <w:multiLevelType w:val="multilevel"/>
    <w:tmpl w:val="5058C4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60D3093"/>
    <w:multiLevelType w:val="multilevel"/>
    <w:tmpl w:val="51220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A991D9C"/>
    <w:multiLevelType w:val="multilevel"/>
    <w:tmpl w:val="55923E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E376A"/>
    <w:rsid w:val="00ED4378"/>
    <w:rsid w:val="00FE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6A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FE376A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BodyText">
    <w:name w:val="Body Text"/>
    <w:basedOn w:val="Normal"/>
    <w:rsid w:val="00FE376A"/>
    <w:pPr>
      <w:spacing w:after="140"/>
    </w:pPr>
  </w:style>
  <w:style w:type="paragraph" w:styleId="List">
    <w:name w:val="List"/>
    <w:basedOn w:val="BodyText"/>
    <w:rsid w:val="00FE376A"/>
    <w:rPr>
      <w:rFonts w:ascii="Times New Roman" w:hAnsi="Times New Roman" w:cs="Arial"/>
    </w:rPr>
  </w:style>
  <w:style w:type="paragraph" w:styleId="Caption">
    <w:name w:val="caption"/>
    <w:basedOn w:val="Normal"/>
    <w:qFormat/>
    <w:rsid w:val="00FE376A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E376A"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C277B0"/>
    <w:rPr>
      <w:sz w:val="22"/>
    </w:rPr>
  </w:style>
  <w:style w:type="table" w:customStyle="1" w:styleId="TableGrid1">
    <w:name w:val="Table Grid1"/>
    <w:basedOn w:val="TableNormal"/>
    <w:uiPriority w:val="59"/>
    <w:rsid w:val="00C277B0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5282</Characters>
  <Application>Microsoft Office Word</Application>
  <DocSecurity>0</DocSecurity>
  <Lines>44</Lines>
  <Paragraphs>12</Paragraphs>
  <ScaleCrop>false</ScaleCrop>
  <Company>Grizli777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Slavoljub Gojkovic</cp:lastModifiedBy>
  <cp:revision>2</cp:revision>
  <cp:lastPrinted>2020-12-23T12:55:00Z</cp:lastPrinted>
  <dcterms:created xsi:type="dcterms:W3CDTF">2020-12-24T14:00:00Z</dcterms:created>
  <dcterms:modified xsi:type="dcterms:W3CDTF">2020-12-24T14:00:00Z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